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111</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408250</w:t>
      </w:r>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hint="default"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accuracy requirements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7.3.2.2</w:t>
      </w:r>
      <w:bookmarkStart w:id="0" w:name="_GoBack"/>
      <w:bookmarkEnd w:id="0"/>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RAN4 meeting, RAN4 has spread extensive discussion around the simultaneous multi-panel/multi-beam reception and some agreements were achieved in [1]. Regarding the performance part, besides the test case design, the accuracy requirements were also discussed by multiple companies with some progress achieved. In this document, we provide our further views on the remaining issues of accuracy requirements.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 xml:space="preserve">Issue </w:t>
            </w:r>
            <w:r>
              <w:rPr>
                <w:rFonts w:hint="eastAsia"/>
                <w:b/>
                <w:color w:val="000000" w:themeColor="text1"/>
                <w:u w:val="single"/>
                <w:lang w:eastAsia="zh-CN"/>
                <w14:textFill>
                  <w14:solidFill>
                    <w14:schemeClr w14:val="tx1"/>
                  </w14:solidFill>
                </w14:textFill>
              </w:rPr>
              <w:t>1</w:t>
            </w:r>
            <w:r>
              <w:rPr>
                <w:b/>
                <w:color w:val="000000" w:themeColor="text1"/>
                <w:u w:val="single"/>
                <w:lang w:eastAsia="ko-KR"/>
                <w14:textFill>
                  <w14:solidFill>
                    <w14:schemeClr w14:val="tx1"/>
                  </w14:solidFill>
                </w14:textFill>
              </w:rPr>
              <w:t>-1: Accuracy requirements for multi-Rx in Rel-18</w:t>
            </w:r>
          </w:p>
          <w:p>
            <w:pPr>
              <w:pStyle w:val="28"/>
              <w:numPr>
                <w:ilvl w:val="0"/>
                <w:numId w:val="3"/>
              </w:numPr>
              <w:spacing w:after="120"/>
              <w:ind w:firstLineChars="0"/>
              <w:rPr>
                <w:color w:val="000000" w:themeColor="text1"/>
                <w14:textFill>
                  <w14:solidFill>
                    <w14:schemeClr w14:val="tx1"/>
                  </w14:solidFill>
                </w14:textFill>
              </w:rPr>
            </w:pPr>
            <w:r>
              <w:rPr>
                <w:color w:val="000000" w:themeColor="text1"/>
                <w14:textFill>
                  <w14:solidFill>
                    <w14:schemeClr w14:val="tx1"/>
                  </w14:solidFill>
                </w14:textFill>
              </w:rPr>
              <w:t>The legacy accuracy requirements for L1-RSRP measurement in section 10.1.20 of TS 38.133</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apply </w:t>
            </w:r>
            <w:r>
              <w:rPr>
                <w:rFonts w:hint="eastAsia"/>
                <w:color w:val="000000" w:themeColor="text1"/>
                <w14:textFill>
                  <w14:solidFill>
                    <w14:schemeClr w14:val="tx1"/>
                  </w14:solidFill>
                </w14:textFill>
              </w:rPr>
              <w:t>to</w:t>
            </w:r>
            <w:r>
              <w:rPr>
                <w:color w:val="000000" w:themeColor="text1"/>
                <w14:textFill>
                  <w14:solidFill>
                    <w14:schemeClr w14:val="tx1"/>
                  </w14:solidFill>
                </w14:textFill>
              </w:rPr>
              <w:t xml:space="preserve"> L1-RSRP measurements with Rel-17 group-based beam reporting.</w:t>
            </w:r>
          </w:p>
          <w:p>
            <w:pPr>
              <w:pStyle w:val="28"/>
              <w:numPr>
                <w:ilvl w:val="0"/>
                <w:numId w:val="3"/>
              </w:numPr>
              <w:spacing w:after="120"/>
              <w:ind w:firstLineChars="0"/>
              <w:rPr>
                <w:rFonts w:hint="default" w:eastAsia="宋体"/>
                <w:color w:val="auto"/>
                <w:sz w:val="20"/>
                <w:szCs w:val="20"/>
                <w:vertAlign w:val="baseline"/>
                <w:lang w:val="en-US" w:eastAsia="zh-CN"/>
              </w:rPr>
            </w:pPr>
            <w:r>
              <w:rPr>
                <w:color w:val="000000" w:themeColor="text1"/>
                <w14:textFill>
                  <w14:solidFill>
                    <w14:schemeClr w14:val="tx1"/>
                  </w14:solidFill>
                </w14:textFill>
              </w:rPr>
              <w:t>Further discuss whether the existing G for PC3 is still applicable or needs to be revised for the TC. Company to bring CR on the TC in the next meeting, whether the TC can be agreed will be decided in the next meeting.</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last meeting, it was clarified that according to the reference point of RSRP requirements defined in Clause B.2.1.5 in [2] as below, the Rx beam gain is not captured in the legacy L1-RSRP accuracy requirements in last meeting. </w:t>
      </w:r>
    </w:p>
    <w:p>
      <w:pPr>
        <w:pStyle w:val="36"/>
      </w:pPr>
      <w:r>
        <w:drawing>
          <wp:inline distT="0" distB="0" distL="0" distR="0">
            <wp:extent cx="4810125" cy="2324100"/>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a:stretch>
                      <a:fillRect/>
                    </a:stretch>
                  </pic:blipFill>
                  <pic:spPr>
                    <a:xfrm>
                      <a:off x="0" y="0"/>
                      <a:ext cx="4810125" cy="2324100"/>
                    </a:xfrm>
                    <a:prstGeom prst="rect">
                      <a:avLst/>
                    </a:prstGeom>
                  </pic:spPr>
                </pic:pic>
              </a:graphicData>
            </a:graphic>
          </wp:inline>
        </w:drawing>
      </w:r>
    </w:p>
    <w:p>
      <w:pPr>
        <w:pStyle w:val="59"/>
        <w:rPr>
          <w:lang w:eastAsia="ja-JP"/>
        </w:rPr>
      </w:pPr>
      <w:r>
        <w:t>Figure B.2.1.</w:t>
      </w:r>
      <w:r>
        <w:rPr>
          <w:rFonts w:hint="eastAsia"/>
          <w:lang w:val="en-US" w:eastAsia="zh-CN"/>
        </w:rPr>
        <w:t>5</w:t>
      </w:r>
      <w:r>
        <w:t>.1-1: Gain and Reference point for requirement parameters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So the test case of legacy L1-RSRP accuracy requirements is designed as below, in which the Rx beam gain is additional considered in the test.</w:t>
      </w:r>
    </w:p>
    <w:p>
      <w:pPr>
        <w:pStyle w:val="36"/>
      </w:pPr>
      <w:r>
        <w:t>Table A.7.7.4.1.3-1: L1-RSRP absolute accuracy test requirement</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0"/>
        <w:gridCol w:w="6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547" w:type="dxa"/>
            <w:tcBorders>
              <w:top w:val="single" w:color="auto" w:sz="4" w:space="0"/>
              <w:left w:val="single" w:color="auto" w:sz="4" w:space="0"/>
              <w:bottom w:val="single" w:color="auto" w:sz="4" w:space="0"/>
              <w:right w:val="single" w:color="auto" w:sz="4" w:space="0"/>
            </w:tcBorders>
          </w:tcPr>
          <w:p>
            <w:pPr>
              <w:pStyle w:val="33"/>
            </w:pPr>
          </w:p>
        </w:tc>
        <w:tc>
          <w:tcPr>
            <w:tcW w:w="7082" w:type="dxa"/>
            <w:tcBorders>
              <w:top w:val="single" w:color="auto" w:sz="4" w:space="0"/>
              <w:left w:val="single" w:color="auto" w:sz="4" w:space="0"/>
              <w:bottom w:val="single" w:color="auto" w:sz="4" w:space="0"/>
              <w:right w:val="single" w:color="auto" w:sz="4" w:space="0"/>
            </w:tcBorders>
          </w:tcPr>
          <w:p>
            <w:pPr>
              <w:pStyle w:val="33"/>
            </w:pPr>
            <w:r>
              <w:t>Test requirement</w:t>
            </w:r>
            <w:r>
              <w:rPr>
                <w:vertAlign w:val="superscript"/>
              </w:rPr>
              <w:t xml:space="preserve"> Notes1,2,3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547" w:type="dxa"/>
            <w:tcBorders>
              <w:top w:val="single" w:color="auto" w:sz="4" w:space="0"/>
              <w:left w:val="single" w:color="auto" w:sz="4" w:space="0"/>
              <w:bottom w:val="single" w:color="auto" w:sz="4" w:space="0"/>
              <w:right w:val="single" w:color="auto" w:sz="4" w:space="0"/>
            </w:tcBorders>
          </w:tcPr>
          <w:p>
            <w:pPr>
              <w:pStyle w:val="34"/>
            </w:pPr>
            <w:r>
              <w:t>SSB0</w:t>
            </w:r>
          </w:p>
        </w:tc>
        <w:tc>
          <w:tcPr>
            <w:tcW w:w="7082" w:type="dxa"/>
            <w:tcBorders>
              <w:top w:val="single" w:color="auto" w:sz="4" w:space="0"/>
              <w:left w:val="single" w:color="auto" w:sz="4" w:space="0"/>
              <w:bottom w:val="single" w:color="auto" w:sz="4" w:space="0"/>
              <w:right w:val="single" w:color="auto" w:sz="4" w:space="0"/>
            </w:tcBorders>
          </w:tcPr>
          <w:p>
            <w:pPr>
              <w:pStyle w:val="34"/>
              <w:rPr>
                <w:rFonts w:cs="Arial"/>
                <w:szCs w:val="18"/>
              </w:rPr>
            </w:pPr>
            <w:r>
              <w:rPr>
                <w:rFonts w:cs="Arial"/>
                <w:szCs w:val="18"/>
              </w:rPr>
              <w:t>SSB_RP0 -δ + G</w:t>
            </w:r>
            <w:r>
              <w:rPr>
                <w:rFonts w:cs="Arial"/>
                <w:szCs w:val="18"/>
                <w:vertAlign w:val="subscript"/>
              </w:rPr>
              <w:t>min</w:t>
            </w:r>
            <w:r>
              <w:rPr>
                <w:rFonts w:cs="Arial"/>
                <w:szCs w:val="18"/>
              </w:rPr>
              <w:t xml:space="preserve"> ≤ Reported RSRP(dBm) ≤ SSB_RP0 +δ + G</w:t>
            </w:r>
            <w:r>
              <w:rPr>
                <w:rFonts w:cs="Arial"/>
                <w:szCs w:val="18"/>
                <w:vertAlign w:val="subscript"/>
              </w:rPr>
              <w:t>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547" w:type="dxa"/>
            <w:tcBorders>
              <w:top w:val="single" w:color="auto" w:sz="4" w:space="0"/>
              <w:left w:val="single" w:color="auto" w:sz="4" w:space="0"/>
              <w:bottom w:val="single" w:color="auto" w:sz="4" w:space="0"/>
              <w:right w:val="single" w:color="auto" w:sz="4" w:space="0"/>
            </w:tcBorders>
          </w:tcPr>
          <w:p>
            <w:pPr>
              <w:pStyle w:val="34"/>
            </w:pPr>
            <w:r>
              <w:t>SSB1</w:t>
            </w:r>
          </w:p>
        </w:tc>
        <w:tc>
          <w:tcPr>
            <w:tcW w:w="7082" w:type="dxa"/>
            <w:tcBorders>
              <w:top w:val="single" w:color="auto" w:sz="4" w:space="0"/>
              <w:left w:val="single" w:color="auto" w:sz="4" w:space="0"/>
              <w:bottom w:val="single" w:color="auto" w:sz="4" w:space="0"/>
              <w:right w:val="single" w:color="auto" w:sz="4" w:space="0"/>
            </w:tcBorders>
          </w:tcPr>
          <w:p>
            <w:pPr>
              <w:pStyle w:val="34"/>
              <w:rPr>
                <w:rFonts w:cs="Arial"/>
                <w:szCs w:val="18"/>
              </w:rPr>
            </w:pPr>
            <w:r>
              <w:rPr>
                <w:rFonts w:cs="Arial"/>
                <w:szCs w:val="18"/>
              </w:rPr>
              <w:t>SSB_RP1 -δ + G</w:t>
            </w:r>
            <w:r>
              <w:rPr>
                <w:rFonts w:cs="Arial"/>
                <w:szCs w:val="18"/>
                <w:vertAlign w:val="subscript"/>
              </w:rPr>
              <w:t>min</w:t>
            </w:r>
            <w:r>
              <w:rPr>
                <w:rFonts w:cs="Arial"/>
                <w:szCs w:val="18"/>
              </w:rPr>
              <w:t xml:space="preserve"> ≤ Reported RSRP(dBm) ≤ SSB_RP1 +δ + G</w:t>
            </w:r>
            <w:r>
              <w:rPr>
                <w:rFonts w:cs="Arial"/>
                <w:szCs w:val="18"/>
                <w:vertAlign w:val="subscript"/>
              </w:rPr>
              <w:t>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29" w:type="dxa"/>
            <w:gridSpan w:val="2"/>
            <w:tcBorders>
              <w:top w:val="single" w:color="auto" w:sz="4" w:space="0"/>
              <w:left w:val="single" w:color="auto" w:sz="4" w:space="0"/>
              <w:bottom w:val="single" w:color="auto" w:sz="4" w:space="0"/>
              <w:right w:val="single" w:color="auto" w:sz="4" w:space="0"/>
            </w:tcBorders>
          </w:tcPr>
          <w:p>
            <w:pPr>
              <w:pStyle w:val="52"/>
              <w:rPr>
                <w:rFonts w:hint="eastAsia" w:eastAsia="宋体"/>
                <w:lang w:val="en-US" w:eastAsia="zh-CN"/>
              </w:rPr>
            </w:pPr>
            <w:r>
              <w:t>Note 1:</w:t>
            </w:r>
            <w:r>
              <w:rPr>
                <w:rFonts w:cs="Arial"/>
              </w:rPr>
              <w:tab/>
            </w:r>
            <w:r>
              <w:t>SSB_RPn is the  equivalent power received by an antenna with 0dBi gain at the centre of the quiet zone configured in the test for the SSB n under consideration</w:t>
            </w:r>
            <w:r>
              <w:rPr>
                <w:rFonts w:hint="eastAsia"/>
                <w:lang w:val="en-US" w:eastAsia="zh-CN"/>
              </w:rPr>
              <w:t xml:space="preserve"> </w:t>
            </w:r>
          </w:p>
          <w:p>
            <w:pPr>
              <w:pStyle w:val="52"/>
              <w:rPr>
                <w:rFonts w:hint="eastAsia" w:eastAsia="宋体"/>
                <w:highlight w:val="none"/>
                <w:lang w:val="en-US" w:eastAsia="zh-CN"/>
              </w:rPr>
            </w:pPr>
            <w:r>
              <w:t>Note 2:</w:t>
            </w:r>
            <w:r>
              <w:rPr>
                <w:rFonts w:cs="Arial"/>
              </w:rPr>
              <w:tab/>
            </w:r>
            <w:r>
              <w:rPr>
                <w:highlight w:val="none"/>
              </w:rPr>
              <w:t>δ is the RSRP absolute accuracy requirement from Table 10.1.20.1.1-1, selected according to the Io used in the test</w:t>
            </w:r>
            <w:r>
              <w:rPr>
                <w:rFonts w:hint="eastAsia"/>
                <w:highlight w:val="none"/>
                <w:lang w:val="en-US" w:eastAsia="zh-CN"/>
              </w:rPr>
              <w:t xml:space="preserve"> </w:t>
            </w:r>
            <w:r>
              <w:rPr>
                <w:rFonts w:hint="eastAsia" w:eastAsia="宋体"/>
                <w:color w:val="auto"/>
                <w:highlight w:val="none"/>
                <w:lang w:val="en-US" w:eastAsia="zh-CN"/>
              </w:rPr>
              <w:t xml:space="preserve"> </w:t>
            </w:r>
          </w:p>
          <w:p>
            <w:pPr>
              <w:pStyle w:val="52"/>
              <w:rPr>
                <w:rFonts w:hint="eastAsia" w:eastAsia="宋体"/>
                <w:lang w:val="en-US" w:eastAsia="zh-CN"/>
              </w:rPr>
            </w:pPr>
            <w:r>
              <w:rPr>
                <w:highlight w:val="none"/>
              </w:rPr>
              <w:t>Note 3:</w:t>
            </w:r>
            <w:r>
              <w:rPr>
                <w:highlight w:val="none"/>
              </w:rPr>
              <w:tab/>
            </w:r>
            <w:r>
              <w:rPr>
                <w:highlight w:val="none"/>
              </w:rPr>
              <w:t>G</w:t>
            </w:r>
            <w:r>
              <w:rPr>
                <w:highlight w:val="none"/>
                <w:vertAlign w:val="subscript"/>
              </w:rPr>
              <w:t>min</w:t>
            </w:r>
            <w:r>
              <w:rPr>
                <w:highlight w:val="none"/>
              </w:rPr>
              <w:t xml:space="preserve"> and G</w:t>
            </w:r>
            <w:r>
              <w:rPr>
                <w:highlight w:val="none"/>
                <w:vertAlign w:val="subscript"/>
              </w:rPr>
              <w:t>max</w:t>
            </w:r>
            <w:r>
              <w:rPr>
                <w:highlight w:val="none"/>
              </w:rPr>
              <w:t xml:space="preserve"> </w:t>
            </w:r>
            <w:r>
              <w:t>are the minimum and maximum UE gain values from Table B.2.1.5.1-1, selected according to the UE power class</w:t>
            </w:r>
            <w:r>
              <w:rPr>
                <w:rFonts w:hint="eastAsia"/>
                <w:lang w:val="en-US" w:eastAsia="zh-CN"/>
              </w:rPr>
              <w:t xml:space="preserve"> </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test requirements and the reference point for accuracy requirements, the Rx beam gain is not captured in the accuracy requirements but which is involved in the reported L1-RSRP value. So the G is added into the equivalent power, since uncertain of the actual Rx beam gain, a range of Rx beam gain [G</w:t>
      </w:r>
      <w:r>
        <w:rPr>
          <w:rFonts w:hint="eastAsia" w:eastAsia="宋体"/>
          <w:color w:val="auto"/>
          <w:sz w:val="15"/>
          <w:szCs w:val="15"/>
          <w:lang w:val="en-US" w:eastAsia="zh-CN"/>
        </w:rPr>
        <w:t>min</w:t>
      </w:r>
      <w:r>
        <w:rPr>
          <w:rFonts w:hint="eastAsia" w:eastAsia="宋体"/>
          <w:color w:val="auto"/>
          <w:sz w:val="20"/>
          <w:szCs w:val="20"/>
          <w:lang w:val="en-US" w:eastAsia="zh-CN"/>
        </w:rPr>
        <w:t>, G</w:t>
      </w:r>
      <w:r>
        <w:rPr>
          <w:rFonts w:hint="eastAsia" w:eastAsia="宋体"/>
          <w:color w:val="auto"/>
          <w:sz w:val="13"/>
          <w:szCs w:val="13"/>
          <w:lang w:val="en-US" w:eastAsia="zh-CN"/>
        </w:rPr>
        <w:t>max</w:t>
      </w:r>
      <w:r>
        <w:rPr>
          <w:rFonts w:hint="eastAsia" w:eastAsia="宋体"/>
          <w:color w:val="auto"/>
          <w:sz w:val="20"/>
          <w:szCs w:val="20"/>
          <w:lang w:val="en-US" w:eastAsia="zh-CN"/>
        </w:rPr>
        <w:t>] is considered on top of [</w:t>
      </w:r>
      <w:r>
        <w:rPr>
          <w:rFonts w:cs="Arial"/>
          <w:szCs w:val="18"/>
        </w:rPr>
        <w:t>SSB_RP0 -δ</w:t>
      </w:r>
      <w:r>
        <w:rPr>
          <w:rFonts w:hint="eastAsia" w:eastAsia="宋体" w:cs="Arial"/>
          <w:szCs w:val="18"/>
          <w:lang w:val="en-US" w:eastAsia="zh-CN"/>
        </w:rPr>
        <w:t xml:space="preserve">, </w:t>
      </w:r>
      <w:r>
        <w:rPr>
          <w:rFonts w:cs="Arial"/>
          <w:szCs w:val="18"/>
        </w:rPr>
        <w:t>SSB_RP0 +δ</w:t>
      </w:r>
      <w:r>
        <w:rPr>
          <w:rFonts w:hint="eastAsia" w:eastAsia="宋体"/>
          <w:color w:val="auto"/>
          <w:sz w:val="20"/>
          <w:szCs w:val="20"/>
          <w:lang w:val="en-US" w:eastAsia="zh-CN"/>
        </w:rPr>
        <w:t>]. For PC3, G</w:t>
      </w:r>
      <w:r>
        <w:rPr>
          <w:rFonts w:hint="eastAsia" w:eastAsia="宋体"/>
          <w:color w:val="auto"/>
          <w:sz w:val="13"/>
          <w:szCs w:val="13"/>
          <w:lang w:val="en-US" w:eastAsia="zh-CN"/>
        </w:rPr>
        <w:t>min</w:t>
      </w:r>
      <w:r>
        <w:rPr>
          <w:rFonts w:hint="eastAsia" w:eastAsia="宋体"/>
          <w:color w:val="auto"/>
          <w:sz w:val="20"/>
          <w:szCs w:val="20"/>
          <w:lang w:val="en-US" w:eastAsia="zh-CN"/>
        </w:rPr>
        <w:t xml:space="preserve"> = -10dBi, G</w:t>
      </w:r>
      <w:r>
        <w:rPr>
          <w:rFonts w:hint="eastAsia" w:eastAsia="宋体"/>
          <w:color w:val="auto"/>
          <w:sz w:val="13"/>
          <w:szCs w:val="13"/>
          <w:lang w:val="en-US" w:eastAsia="zh-CN"/>
        </w:rPr>
        <w:t>max</w:t>
      </w:r>
      <w:r>
        <w:rPr>
          <w:rFonts w:hint="eastAsia" w:eastAsia="宋体"/>
          <w:color w:val="auto"/>
          <w:sz w:val="20"/>
          <w:szCs w:val="20"/>
          <w:lang w:val="en-US" w:eastAsia="zh-CN"/>
        </w:rPr>
        <w:t xml:space="preserve"> = 20 dBi.</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b/>
          <w:bCs/>
          <w:lang w:val="en-US" w:eastAsia="zh-CN"/>
        </w:rPr>
        <w:t xml:space="preserve">Observation 1: The range of Rx beam gain [Gmin, Gmax] in legacy L1-RSRP accuracy requirements is large enough for PC3.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Consequently, the range of [G</w:t>
      </w:r>
      <w:r>
        <w:rPr>
          <w:rFonts w:hint="eastAsia" w:eastAsia="宋体"/>
          <w:color w:val="auto"/>
          <w:sz w:val="15"/>
          <w:szCs w:val="15"/>
          <w:lang w:val="en-US" w:eastAsia="zh-CN"/>
        </w:rPr>
        <w:t>min</w:t>
      </w:r>
      <w:r>
        <w:rPr>
          <w:rFonts w:hint="eastAsia" w:eastAsia="宋体"/>
          <w:color w:val="auto"/>
          <w:sz w:val="20"/>
          <w:szCs w:val="20"/>
          <w:lang w:val="en-US" w:eastAsia="zh-CN"/>
        </w:rPr>
        <w:t>, G</w:t>
      </w:r>
      <w:r>
        <w:rPr>
          <w:rFonts w:hint="eastAsia" w:eastAsia="宋体"/>
          <w:color w:val="auto"/>
          <w:sz w:val="13"/>
          <w:szCs w:val="13"/>
          <w:lang w:val="en-US" w:eastAsia="zh-CN"/>
        </w:rPr>
        <w:t>max</w:t>
      </w:r>
      <w:r>
        <w:rPr>
          <w:rFonts w:hint="eastAsia" w:eastAsia="宋体"/>
          <w:color w:val="auto"/>
          <w:sz w:val="20"/>
          <w:szCs w:val="20"/>
          <w:lang w:val="en-US" w:eastAsia="zh-CN"/>
        </w:rPr>
        <w:t>] is large enough, no matter single-panel or multi-panle used, such range of Rx beam gain can be used in the test. So the test case for accuracy requirements of GBBR is similar as that for legacy L1-RSRP accuracy requirements.</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lang w:val="en-US" w:eastAsia="zh-CN"/>
        </w:rPr>
      </w:pPr>
      <w:r>
        <w:rPr>
          <w:rFonts w:hint="eastAsia"/>
          <w:b/>
          <w:bCs/>
          <w:lang w:val="en-US" w:eastAsia="zh-CN"/>
        </w:rPr>
        <w:t>Proposal 1: The test case for accuracy requirements of GBBR is similar as that for legacy L1-RSRP accuracy requirements.</w:t>
      </w:r>
    </w:p>
    <w:p>
      <w:pPr>
        <w:rPr>
          <w:b/>
          <w:color w:val="000000" w:themeColor="text1"/>
          <w:u w:val="single"/>
          <w:lang w:eastAsia="ko-KR"/>
          <w14:textFill>
            <w14:solidFill>
              <w14:schemeClr w14:val="tx1"/>
            </w14:solidFill>
          </w14:textFill>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spacing w:before="156" w:beforeLines="50"/>
        <w:rPr>
          <w:rFonts w:hint="eastAsia" w:eastAsia="宋体"/>
          <w:color w:val="auto"/>
          <w:sz w:val="20"/>
          <w:szCs w:val="20"/>
          <w:lang w:val="en-GB" w:eastAsia="zh-CN"/>
        </w:rPr>
      </w:pPr>
      <w:r>
        <w:rPr>
          <w:rFonts w:hint="eastAsia" w:eastAsia="宋体"/>
          <w:color w:val="auto"/>
          <w:sz w:val="20"/>
          <w:szCs w:val="20"/>
          <w:lang w:val="en-GB" w:eastAsia="zh-CN"/>
        </w:rPr>
        <w:t xml:space="preserve">In this </w:t>
      </w:r>
      <w:r>
        <w:rPr>
          <w:rFonts w:hint="eastAsia" w:eastAsia="宋体"/>
          <w:color w:val="auto"/>
          <w:sz w:val="20"/>
          <w:szCs w:val="20"/>
          <w:lang w:val="en-US" w:eastAsia="zh-CN"/>
        </w:rPr>
        <w:t>contribution</w:t>
      </w:r>
      <w:r>
        <w:rPr>
          <w:rFonts w:hint="eastAsia" w:eastAsia="宋体"/>
          <w:color w:val="auto"/>
          <w:sz w:val="20"/>
          <w:szCs w:val="20"/>
          <w:lang w:val="en-GB" w:eastAsia="zh-CN"/>
        </w:rPr>
        <w:t xml:space="preserve">, we have the following </w:t>
      </w:r>
      <w:r>
        <w:rPr>
          <w:rFonts w:hint="eastAsia" w:eastAsia="宋体"/>
          <w:color w:val="auto"/>
          <w:sz w:val="20"/>
          <w:szCs w:val="20"/>
          <w:lang w:val="en-US" w:eastAsia="zh-CN"/>
        </w:rPr>
        <w:t xml:space="preserve">observation and </w:t>
      </w:r>
      <w:r>
        <w:rPr>
          <w:rFonts w:hint="eastAsia" w:eastAsia="宋体"/>
          <w:color w:val="auto"/>
          <w:sz w:val="20"/>
          <w:szCs w:val="20"/>
          <w:lang w:val="en-GB" w:eastAsia="zh-CN"/>
        </w:rPr>
        <w:t>proposals</w:t>
      </w:r>
      <w:r>
        <w:rPr>
          <w:rFonts w:hint="eastAsia" w:eastAsia="宋体"/>
          <w:color w:val="auto"/>
          <w:sz w:val="20"/>
          <w:szCs w:val="20"/>
          <w:lang w:val="en-US" w:eastAsia="zh-CN"/>
        </w:rPr>
        <w:t xml:space="preserve"> around accuracy requirements of GBBR measurements for simultaneous DL reception from different directions</w:t>
      </w:r>
      <w:r>
        <w:rPr>
          <w:rFonts w:hint="eastAsia" w:eastAsia="宋体"/>
          <w:color w:val="auto"/>
          <w:sz w:val="20"/>
          <w:szCs w:val="20"/>
          <w:lang w:val="en-GB" w:eastAsia="zh-CN"/>
        </w:rPr>
        <w:t>:</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b/>
          <w:bCs/>
          <w:lang w:val="en-US" w:eastAsia="zh-CN"/>
        </w:rPr>
        <w:t xml:space="preserve">Observation 1: The range of Rx beam gain [Gmin, Gmax] in legacy L1-RSRP accuracy requirements is large enough for PC3.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b/>
          <w:color w:val="000000" w:themeColor="text1"/>
          <w:u w:val="single"/>
          <w:lang w:eastAsia="ko-KR"/>
          <w14:textFill>
            <w14:solidFill>
              <w14:schemeClr w14:val="tx1"/>
            </w14:solidFill>
          </w14:textFill>
        </w:rPr>
      </w:pPr>
      <w:r>
        <w:rPr>
          <w:rFonts w:hint="eastAsia"/>
          <w:b/>
          <w:bCs/>
          <w:lang w:val="en-US" w:eastAsia="zh-CN"/>
        </w:rPr>
        <w:t>Proposal 1: The test case for accuracy requirements of GBBR is similar as that for legacy L1-RSRP accuracy requirements.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5"/>
        </w:numPr>
        <w:ind w:leftChars="0"/>
        <w:rPr>
          <w:rFonts w:hint="eastAsia"/>
          <w:color w:val="auto"/>
          <w:highlight w:val="none"/>
          <w:lang w:val="en-US" w:eastAsia="zh-CN"/>
        </w:rPr>
      </w:pPr>
      <w:r>
        <w:rPr>
          <w:rFonts w:hint="eastAsia"/>
          <w:color w:val="auto"/>
          <w:highlight w:val="none"/>
          <w:lang w:val="en-US" w:eastAsia="zh-CN"/>
        </w:rPr>
        <w:t xml:space="preserve">R4-2406365 </w:t>
      </w:r>
      <w:r>
        <w:rPr>
          <w:rFonts w:hint="default"/>
          <w:color w:val="auto"/>
          <w:highlight w:val="none"/>
          <w:lang w:val="en-US" w:eastAsia="zh-CN"/>
        </w:rPr>
        <w:t>“</w:t>
      </w:r>
      <w:r>
        <w:rPr>
          <w:rFonts w:hint="eastAsia"/>
          <w:color w:val="auto"/>
          <w:highlight w:val="none"/>
          <w:lang w:val="en-US" w:eastAsia="zh-CN"/>
        </w:rPr>
        <w:t>WF on core maintenance and performance part for multi-Rx WI</w:t>
      </w:r>
      <w:r>
        <w:rPr>
          <w:rFonts w:hint="default"/>
          <w:color w:val="auto"/>
          <w:highlight w:val="none"/>
          <w:lang w:val="en-US" w:eastAsia="zh-CN"/>
        </w:rPr>
        <w:t>”</w:t>
      </w:r>
      <w:r>
        <w:rPr>
          <w:rFonts w:hint="eastAsia"/>
          <w:color w:val="auto"/>
          <w:highlight w:val="none"/>
          <w:lang w:val="en-US" w:eastAsia="zh-CN"/>
        </w:rPr>
        <w:t>, vivo, Ericsson.</w:t>
      </w:r>
    </w:p>
    <w:p>
      <w:pPr>
        <w:pStyle w:val="9"/>
        <w:numPr>
          <w:ilvl w:val="0"/>
          <w:numId w:val="5"/>
        </w:numPr>
        <w:ind w:leftChars="0"/>
        <w:rPr>
          <w:rFonts w:hint="eastAsia"/>
          <w:color w:val="auto"/>
          <w:highlight w:val="none"/>
          <w:lang w:val="en-US" w:eastAsia="zh-CN"/>
        </w:rPr>
      </w:pPr>
      <w:r>
        <w:rPr>
          <w:rFonts w:hint="eastAsia"/>
          <w:color w:val="auto"/>
          <w:highlight w:val="none"/>
          <w:lang w:val="en-US" w:eastAsia="zh-CN"/>
        </w:rPr>
        <w:t>TS 38.133 v.18.5.0</w:t>
      </w: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8"/>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37CE"/>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2122247"/>
    <w:rsid w:val="02150C3F"/>
    <w:rsid w:val="022C3A09"/>
    <w:rsid w:val="028B6A1D"/>
    <w:rsid w:val="028F1C3E"/>
    <w:rsid w:val="037D0CB3"/>
    <w:rsid w:val="03D4720A"/>
    <w:rsid w:val="03E04DEA"/>
    <w:rsid w:val="04151694"/>
    <w:rsid w:val="04654053"/>
    <w:rsid w:val="04793516"/>
    <w:rsid w:val="047A3CFF"/>
    <w:rsid w:val="04885243"/>
    <w:rsid w:val="05317828"/>
    <w:rsid w:val="05477E90"/>
    <w:rsid w:val="05BB5AB9"/>
    <w:rsid w:val="05C42923"/>
    <w:rsid w:val="05F562DB"/>
    <w:rsid w:val="06963BA6"/>
    <w:rsid w:val="06965F3C"/>
    <w:rsid w:val="07CD3CDD"/>
    <w:rsid w:val="084B363C"/>
    <w:rsid w:val="0855671D"/>
    <w:rsid w:val="085E20C5"/>
    <w:rsid w:val="089009EB"/>
    <w:rsid w:val="09716BCA"/>
    <w:rsid w:val="098C1CEA"/>
    <w:rsid w:val="09D64B23"/>
    <w:rsid w:val="09E644B8"/>
    <w:rsid w:val="0A137B59"/>
    <w:rsid w:val="0A383F61"/>
    <w:rsid w:val="0B12013A"/>
    <w:rsid w:val="0B1C5C6A"/>
    <w:rsid w:val="0B243EFB"/>
    <w:rsid w:val="0B3D3C2F"/>
    <w:rsid w:val="0B5D15B4"/>
    <w:rsid w:val="0B6204CF"/>
    <w:rsid w:val="0BAC06FA"/>
    <w:rsid w:val="0BB0429A"/>
    <w:rsid w:val="0BFF5FC6"/>
    <w:rsid w:val="0C276675"/>
    <w:rsid w:val="0C394019"/>
    <w:rsid w:val="0EC91588"/>
    <w:rsid w:val="0F6C0B73"/>
    <w:rsid w:val="0F8009F9"/>
    <w:rsid w:val="10997F43"/>
    <w:rsid w:val="10D93EC2"/>
    <w:rsid w:val="10DE7BAE"/>
    <w:rsid w:val="11023BFD"/>
    <w:rsid w:val="110404BB"/>
    <w:rsid w:val="111C20F6"/>
    <w:rsid w:val="11DD2CBB"/>
    <w:rsid w:val="11ED345F"/>
    <w:rsid w:val="120774A3"/>
    <w:rsid w:val="12580C13"/>
    <w:rsid w:val="130B3696"/>
    <w:rsid w:val="14006D19"/>
    <w:rsid w:val="1414436B"/>
    <w:rsid w:val="1481754F"/>
    <w:rsid w:val="148F5721"/>
    <w:rsid w:val="14AC57CD"/>
    <w:rsid w:val="14B9644E"/>
    <w:rsid w:val="15ED3E9B"/>
    <w:rsid w:val="164514BE"/>
    <w:rsid w:val="16E8141E"/>
    <w:rsid w:val="170F06AA"/>
    <w:rsid w:val="17225508"/>
    <w:rsid w:val="17B52E39"/>
    <w:rsid w:val="180A6E32"/>
    <w:rsid w:val="183F2CD2"/>
    <w:rsid w:val="1856323E"/>
    <w:rsid w:val="188D6BB6"/>
    <w:rsid w:val="18AF55E3"/>
    <w:rsid w:val="18B1519A"/>
    <w:rsid w:val="18CD0507"/>
    <w:rsid w:val="19561039"/>
    <w:rsid w:val="195D7D48"/>
    <w:rsid w:val="19852D03"/>
    <w:rsid w:val="1A6F1A83"/>
    <w:rsid w:val="1AD01A1B"/>
    <w:rsid w:val="1B4C5221"/>
    <w:rsid w:val="1B61065A"/>
    <w:rsid w:val="1B940E5A"/>
    <w:rsid w:val="1BBF3927"/>
    <w:rsid w:val="1C0B14AE"/>
    <w:rsid w:val="1C177B08"/>
    <w:rsid w:val="1C644189"/>
    <w:rsid w:val="1C9001C6"/>
    <w:rsid w:val="1CBA2101"/>
    <w:rsid w:val="1D0573D7"/>
    <w:rsid w:val="1D153DC4"/>
    <w:rsid w:val="1D223E0B"/>
    <w:rsid w:val="1D3A54CD"/>
    <w:rsid w:val="1DF33EB1"/>
    <w:rsid w:val="1E132F88"/>
    <w:rsid w:val="1E2867E9"/>
    <w:rsid w:val="1E853F6F"/>
    <w:rsid w:val="1E9C7BCC"/>
    <w:rsid w:val="1ECC1E3C"/>
    <w:rsid w:val="1F5B4632"/>
    <w:rsid w:val="1F8C4589"/>
    <w:rsid w:val="1FFD4083"/>
    <w:rsid w:val="20013E13"/>
    <w:rsid w:val="20122D1B"/>
    <w:rsid w:val="202F3D4C"/>
    <w:rsid w:val="206F1E13"/>
    <w:rsid w:val="20E2786E"/>
    <w:rsid w:val="21014C39"/>
    <w:rsid w:val="21045DF0"/>
    <w:rsid w:val="21244EB1"/>
    <w:rsid w:val="213964D8"/>
    <w:rsid w:val="21595D04"/>
    <w:rsid w:val="21835807"/>
    <w:rsid w:val="21F13629"/>
    <w:rsid w:val="22AF59B6"/>
    <w:rsid w:val="2305377E"/>
    <w:rsid w:val="2311137D"/>
    <w:rsid w:val="231A76D5"/>
    <w:rsid w:val="23BE460D"/>
    <w:rsid w:val="24122135"/>
    <w:rsid w:val="24A72551"/>
    <w:rsid w:val="24D4257E"/>
    <w:rsid w:val="24DC3855"/>
    <w:rsid w:val="24F5519F"/>
    <w:rsid w:val="25362D8A"/>
    <w:rsid w:val="2572202B"/>
    <w:rsid w:val="25AE612B"/>
    <w:rsid w:val="2605683C"/>
    <w:rsid w:val="26661176"/>
    <w:rsid w:val="26672AC5"/>
    <w:rsid w:val="26BB1419"/>
    <w:rsid w:val="26C25508"/>
    <w:rsid w:val="27315D1D"/>
    <w:rsid w:val="27B748AA"/>
    <w:rsid w:val="27CB4CB9"/>
    <w:rsid w:val="27CC4452"/>
    <w:rsid w:val="281C2F58"/>
    <w:rsid w:val="28CD5B2D"/>
    <w:rsid w:val="292D5BF2"/>
    <w:rsid w:val="292F6239"/>
    <w:rsid w:val="29642C4B"/>
    <w:rsid w:val="29A66B9A"/>
    <w:rsid w:val="29B35277"/>
    <w:rsid w:val="2A34628C"/>
    <w:rsid w:val="2A724D05"/>
    <w:rsid w:val="2A7E505C"/>
    <w:rsid w:val="2AC85686"/>
    <w:rsid w:val="2AD04B5F"/>
    <w:rsid w:val="2B39549B"/>
    <w:rsid w:val="2BC05B2C"/>
    <w:rsid w:val="2BC317CE"/>
    <w:rsid w:val="2BD617C5"/>
    <w:rsid w:val="2C112837"/>
    <w:rsid w:val="2C360608"/>
    <w:rsid w:val="2E014790"/>
    <w:rsid w:val="2EAE66A3"/>
    <w:rsid w:val="2EE77680"/>
    <w:rsid w:val="2F2F0FC8"/>
    <w:rsid w:val="2F591020"/>
    <w:rsid w:val="2F8954B7"/>
    <w:rsid w:val="2F8E63A4"/>
    <w:rsid w:val="301C6BB6"/>
    <w:rsid w:val="30723652"/>
    <w:rsid w:val="30766FB2"/>
    <w:rsid w:val="30E965CE"/>
    <w:rsid w:val="311F3427"/>
    <w:rsid w:val="312654EA"/>
    <w:rsid w:val="31565660"/>
    <w:rsid w:val="319708F2"/>
    <w:rsid w:val="31B14C9E"/>
    <w:rsid w:val="31E00A6C"/>
    <w:rsid w:val="31FE2981"/>
    <w:rsid w:val="32545CB6"/>
    <w:rsid w:val="33C522D7"/>
    <w:rsid w:val="33D97FA6"/>
    <w:rsid w:val="33F228A5"/>
    <w:rsid w:val="347C19A0"/>
    <w:rsid w:val="34807672"/>
    <w:rsid w:val="351B1E30"/>
    <w:rsid w:val="351D459F"/>
    <w:rsid w:val="358E5935"/>
    <w:rsid w:val="35B06C6A"/>
    <w:rsid w:val="36941AA2"/>
    <w:rsid w:val="36B46C09"/>
    <w:rsid w:val="36D37423"/>
    <w:rsid w:val="379D23F9"/>
    <w:rsid w:val="37E74183"/>
    <w:rsid w:val="38230E9D"/>
    <w:rsid w:val="3A185287"/>
    <w:rsid w:val="3A1F46B8"/>
    <w:rsid w:val="3A495290"/>
    <w:rsid w:val="3A692CD0"/>
    <w:rsid w:val="3B270929"/>
    <w:rsid w:val="3B3D5571"/>
    <w:rsid w:val="3B5D276F"/>
    <w:rsid w:val="3B673620"/>
    <w:rsid w:val="3B9A1F29"/>
    <w:rsid w:val="3CA83595"/>
    <w:rsid w:val="3CE4646B"/>
    <w:rsid w:val="3D5E7AA8"/>
    <w:rsid w:val="3D6F2596"/>
    <w:rsid w:val="3F5E503E"/>
    <w:rsid w:val="405F175E"/>
    <w:rsid w:val="40737877"/>
    <w:rsid w:val="407D705A"/>
    <w:rsid w:val="40A811A8"/>
    <w:rsid w:val="40C765F3"/>
    <w:rsid w:val="41B8634B"/>
    <w:rsid w:val="41C755BE"/>
    <w:rsid w:val="42424160"/>
    <w:rsid w:val="427919DF"/>
    <w:rsid w:val="42A01CD1"/>
    <w:rsid w:val="42B16B47"/>
    <w:rsid w:val="42F869D2"/>
    <w:rsid w:val="433D4368"/>
    <w:rsid w:val="43553536"/>
    <w:rsid w:val="438A79C8"/>
    <w:rsid w:val="44972678"/>
    <w:rsid w:val="44C465F8"/>
    <w:rsid w:val="451632B9"/>
    <w:rsid w:val="45906394"/>
    <w:rsid w:val="45D40A2F"/>
    <w:rsid w:val="45F60A50"/>
    <w:rsid w:val="46142D0C"/>
    <w:rsid w:val="46151904"/>
    <w:rsid w:val="463A5AC1"/>
    <w:rsid w:val="46970A81"/>
    <w:rsid w:val="46B036BF"/>
    <w:rsid w:val="46EE1939"/>
    <w:rsid w:val="47282363"/>
    <w:rsid w:val="476B3528"/>
    <w:rsid w:val="47C726B0"/>
    <w:rsid w:val="47E877FB"/>
    <w:rsid w:val="47EC7B96"/>
    <w:rsid w:val="485C7C16"/>
    <w:rsid w:val="489C691C"/>
    <w:rsid w:val="49DC4EAC"/>
    <w:rsid w:val="49E55BC5"/>
    <w:rsid w:val="4B9C7CDF"/>
    <w:rsid w:val="4C1C63D6"/>
    <w:rsid w:val="4C864A35"/>
    <w:rsid w:val="4E015C76"/>
    <w:rsid w:val="4E1A3FA5"/>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6E37BE"/>
    <w:rsid w:val="5372021A"/>
    <w:rsid w:val="53842339"/>
    <w:rsid w:val="53A3105E"/>
    <w:rsid w:val="53C64B93"/>
    <w:rsid w:val="53FE2659"/>
    <w:rsid w:val="548A6C60"/>
    <w:rsid w:val="54E07F19"/>
    <w:rsid w:val="551F20A6"/>
    <w:rsid w:val="55B1164D"/>
    <w:rsid w:val="55B4735E"/>
    <w:rsid w:val="55BB221D"/>
    <w:rsid w:val="56371459"/>
    <w:rsid w:val="56484633"/>
    <w:rsid w:val="569D39ED"/>
    <w:rsid w:val="574B3EB2"/>
    <w:rsid w:val="58D0053D"/>
    <w:rsid w:val="58F67DF5"/>
    <w:rsid w:val="59064002"/>
    <w:rsid w:val="59745E07"/>
    <w:rsid w:val="598C40A0"/>
    <w:rsid w:val="59930B2E"/>
    <w:rsid w:val="59DA647E"/>
    <w:rsid w:val="5A556E1A"/>
    <w:rsid w:val="5B9464DF"/>
    <w:rsid w:val="5C1166E3"/>
    <w:rsid w:val="5E2864D0"/>
    <w:rsid w:val="5E494511"/>
    <w:rsid w:val="5E7C0F18"/>
    <w:rsid w:val="5EB44FC0"/>
    <w:rsid w:val="5EB81F13"/>
    <w:rsid w:val="5EDA64BC"/>
    <w:rsid w:val="5F207F65"/>
    <w:rsid w:val="5F6666BE"/>
    <w:rsid w:val="5FBA395F"/>
    <w:rsid w:val="60B92183"/>
    <w:rsid w:val="60EC2CBA"/>
    <w:rsid w:val="61661B78"/>
    <w:rsid w:val="618636C8"/>
    <w:rsid w:val="61CC2D28"/>
    <w:rsid w:val="62DE3B93"/>
    <w:rsid w:val="630C63B9"/>
    <w:rsid w:val="63454F29"/>
    <w:rsid w:val="635902CD"/>
    <w:rsid w:val="642A3E76"/>
    <w:rsid w:val="645814EE"/>
    <w:rsid w:val="645E1DDB"/>
    <w:rsid w:val="64706BBE"/>
    <w:rsid w:val="64F2095B"/>
    <w:rsid w:val="65267327"/>
    <w:rsid w:val="65D63F94"/>
    <w:rsid w:val="66036AF7"/>
    <w:rsid w:val="66850BFA"/>
    <w:rsid w:val="67594709"/>
    <w:rsid w:val="67A858DB"/>
    <w:rsid w:val="67FE4166"/>
    <w:rsid w:val="68AD2162"/>
    <w:rsid w:val="68C401C3"/>
    <w:rsid w:val="69045D7F"/>
    <w:rsid w:val="693027BF"/>
    <w:rsid w:val="6968769B"/>
    <w:rsid w:val="696C5A1D"/>
    <w:rsid w:val="69831B57"/>
    <w:rsid w:val="698E7A9D"/>
    <w:rsid w:val="69A833BD"/>
    <w:rsid w:val="69FB3F8F"/>
    <w:rsid w:val="6A5D78D5"/>
    <w:rsid w:val="6A85354A"/>
    <w:rsid w:val="6B891BF1"/>
    <w:rsid w:val="6BE46C6E"/>
    <w:rsid w:val="6C5B584F"/>
    <w:rsid w:val="6C8E0C06"/>
    <w:rsid w:val="6CD1716B"/>
    <w:rsid w:val="6D566F0F"/>
    <w:rsid w:val="6D7A1775"/>
    <w:rsid w:val="6D836F72"/>
    <w:rsid w:val="6DC2026F"/>
    <w:rsid w:val="6DDE3DAF"/>
    <w:rsid w:val="6E281030"/>
    <w:rsid w:val="6E2C7D5B"/>
    <w:rsid w:val="6E3241BE"/>
    <w:rsid w:val="6EB97A9D"/>
    <w:rsid w:val="6EC82818"/>
    <w:rsid w:val="6EF10A90"/>
    <w:rsid w:val="6F9621E0"/>
    <w:rsid w:val="6FC2089A"/>
    <w:rsid w:val="6FD45BF8"/>
    <w:rsid w:val="6FFF1868"/>
    <w:rsid w:val="70332195"/>
    <w:rsid w:val="712150A0"/>
    <w:rsid w:val="71507435"/>
    <w:rsid w:val="715F4C2D"/>
    <w:rsid w:val="721C3FA1"/>
    <w:rsid w:val="722F78FB"/>
    <w:rsid w:val="723D67C5"/>
    <w:rsid w:val="7244013B"/>
    <w:rsid w:val="7250627B"/>
    <w:rsid w:val="72BF60CA"/>
    <w:rsid w:val="72F41282"/>
    <w:rsid w:val="733D0D32"/>
    <w:rsid w:val="73D411F1"/>
    <w:rsid w:val="74165422"/>
    <w:rsid w:val="753811DE"/>
    <w:rsid w:val="75647498"/>
    <w:rsid w:val="7566040A"/>
    <w:rsid w:val="757733D9"/>
    <w:rsid w:val="75A7114C"/>
    <w:rsid w:val="75BE67D4"/>
    <w:rsid w:val="75C2004C"/>
    <w:rsid w:val="75C759C1"/>
    <w:rsid w:val="760F5DAE"/>
    <w:rsid w:val="762D64F3"/>
    <w:rsid w:val="766B6FB4"/>
    <w:rsid w:val="767E7EFF"/>
    <w:rsid w:val="76A9299C"/>
    <w:rsid w:val="775B4604"/>
    <w:rsid w:val="77C067C3"/>
    <w:rsid w:val="77EA64D7"/>
    <w:rsid w:val="782347DB"/>
    <w:rsid w:val="78911E31"/>
    <w:rsid w:val="7922350F"/>
    <w:rsid w:val="792B5470"/>
    <w:rsid w:val="79B2715A"/>
    <w:rsid w:val="79C637D8"/>
    <w:rsid w:val="7A5712B9"/>
    <w:rsid w:val="7A9367CB"/>
    <w:rsid w:val="7AA10DE7"/>
    <w:rsid w:val="7AC912FF"/>
    <w:rsid w:val="7AD3168F"/>
    <w:rsid w:val="7AF22571"/>
    <w:rsid w:val="7B69224B"/>
    <w:rsid w:val="7BE80F25"/>
    <w:rsid w:val="7C1C35A7"/>
    <w:rsid w:val="7C45431D"/>
    <w:rsid w:val="7C952974"/>
    <w:rsid w:val="7D243E1C"/>
    <w:rsid w:val="7D3219D5"/>
    <w:rsid w:val="7D734AA7"/>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4"/>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59">
    <w:name w:val="TF"/>
    <w:basedOn w:val="36"/>
    <w:qFormat/>
    <w:uiPriority w:val="0"/>
    <w:pPr>
      <w:keepNext w:val="0"/>
      <w:spacing w:before="0" w:after="240"/>
    </w:pPr>
  </w:style>
  <w:style w:type="table" w:customStyle="1" w:styleId="60">
    <w:name w:val="Table Grid1"/>
    <w:basedOn w:val="16"/>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8</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2024-05-13T08:41:34Z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AE12E00B060A4B598356520CC3E162FF</vt:lpwstr>
  </property>
</Properties>
</file>